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</w:pPr>
      <w:r>
        <w:pict>
          <v:shape type="#_x0000_t75" style="width:555px; height:370px; margin-left:0px; margin-top:0px; mso-position-horizontal:left; mso-position-vertical:top; mso-position-horizontal-relative:margin; mso-position-vertical-relative:line;">
            <w10:wrap type="square"/>
            <v:imagedata r:id="rId7" o:title=""/>
          </v:shape>
        </w:pict>
      </w:r>
    </w:p>
    <w:p/>
    <w:p/>
    <w:p/>
    <w:p/>
    <w:p>
      <w:pPr>
        <w:jc w:val="center"/>
      </w:pPr>
      <w:r>
        <w:rPr>
          <w:rFonts w:ascii="Arial" w:hAnsi="Arial" w:eastAsia="Arial" w:cs="Arial"/>
          <w:color w:val="9c3b36"/>
          <w:sz w:val="48"/>
          <w:szCs w:val="48"/>
          <w:b/>
        </w:rPr>
        <w:t xml:space="preserve">Шотландия – Ян-Майен – Шпицберген</w:t>
      </w:r>
    </w:p>
    <w:p>
      <w:pPr>
        <w:jc w:val="center"/>
      </w:pPr>
      <w:r>
        <w:rPr>
          <w:rFonts w:ascii="Arial" w:hAnsi="Arial" w:eastAsia="Arial" w:cs="Arial"/>
          <w:sz w:val="32"/>
          <w:szCs w:val="32"/>
          <w:b/>
        </w:rPr>
        <w:t xml:space="preserve">К неизведанным берегам Арктики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29 май. - 10 июн. 2024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13 дней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Начало круиза: Эдинбург (Шотландия)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Окончание круиза: Лонгйир (Шпицберген)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Судно «Си Спирит»</w:t>
      </w:r>
    </w:p>
    <w:p>
      <w:pPr>
        <w:jc w:val="center"/>
      </w:pPr>
      <w:r>
        <w:rPr>
          <w:rFonts w:ascii="Arial" w:hAnsi="Arial" w:eastAsia="Arial" w:cs="Arial"/>
          <w:sz w:val="26"/>
          <w:szCs w:val="26"/>
          <w:b/>
        </w:rPr>
        <w:t xml:space="preserve">Доп. опции:</w:t>
      </w:r>
    </w:p>
    <w:p>
      <w:pPr>
        <w:pStyle w:val="pStyle"/>
      </w:pPr>
      <w:r>
        <w:pict>
          <v:shape type="#_x0000_t75" style="width:28px; height:21px; margin-left:0px; margin-top:0px; mso-position-horizontal:left; mso-position-vertical:top; mso-position-horizontal-relative:margin; mso-position-vertical-relative:line;">
            <w10:wrap type="inline"/>
            <v:imagedata r:id="rId8" o:title=""/>
          </v:shape>
        </w:pict>
      </w:r>
    </w:p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Маршрут</w:t>
      </w:r>
    </w:p>
    <w:tbl>
      <w:tblGrid>
        <w:gridCol w:w="11906" w:type="dxa"/>
      </w:tblGrid>
      <w:tblPr>
        <w:tblW w:w="0" w:type="auto"/>
        <w:tblCellMar>
          <w:top w:w="100" w:type="dxa"/>
          <w:left w:w="100" w:type="dxa"/>
          <w:bottom w:w="400" w:type="dxa"/>
        </w:tblCellMar>
        <w:tblBorders>
          <w:top w:val="single" w:sz="6" w:color="FFFFFF"/>
          <w:left w:val="single" w:sz="6" w:color="FFFFFF"/>
          <w:right w:val="single" w:sz="6" w:color="FFFFFF"/>
          <w:bottom w:val="single" w:sz="6" w:color="FFFFFF"/>
          <w:insideH w:val="single" w:sz="6" w:color="FFFFFF"/>
          <w:insideV w:val="single" w:sz="6" w:color="FFFFFF"/>
        </w:tblBorders>
      </w:tblP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1. (29 мая): Эдинбург (Шотландия), ночь в отеле</w:t>
            </w:r>
          </w:p>
          <w:p>
            <w:pPr/>
            <w:r>
              <w:rPr/>
              <w:t xml:space="preserve">	 Добро пожаловать в Эдинбург, столицу Шотландии и стартовую точку нашей экспедиции. Мы забронировали для Вас отель, чтобы у Вас было достаточно времени познакомиться с городом. При одном взгляде на знаменитый Эдинбургский замок становится очевидным, что столица Шотландии может похвастать богатой историей. Эдинбург делится на Новый и Старый город. Однако не торопитесь делать выводы из названий – в Новом городе вы увидите здания 18 века, в то время как Старый город впечатляет гостей средневековой архитектурой. Во время самостоятельного исследования Эдинбурга побродите по старым улочкам, каждый поворот которых открывается неожиданной картинкой: изумрудной зеленью холмов, рыже-красными всполохами скал или голубыми проблесками моря.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4.0740740740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2. (30 мая): Эдинбург (Шотландия), посадка на судно</w:t>
            </w:r>
          </w:p>
          <w:p>
            <w:pPr/>
            <w:r>
              <w:rPr/>
              <w:t xml:space="preserve">	 Утром у Вас будет возможность продолжить свое самостоятельное знакомство с Эдинбургом. Во второй половине дня Вас ждет групповой трансфер от отеля в порт Лит для посадки на экспедиционное судно «Си Спирит».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3. ( 31 мая): Город Керкуолл, Оркнейские острова (Шотландия)</w:t>
            </w:r>
          </w:p>
          <w:p>
            <w:pPr/>
            <w:r>
              <w:rPr/>
              <w:t xml:space="preserve">	 Керкуолл обволакивает гостей особой атмосферой маленького, тихого городка с крайне размеренным ритмом жизни. Это столица далеких, редкопосещаемых и потрясающе красивых Оркнейских островов. Впервые Керкуолл упоминался в Оркнейской саге (Orkneyinga saga) в 1046 году. Столь длинная история оставила богатое культурное наследие, которое нам предстоит сегодня исследовать (самостоятельно или в ходе опционального тура). Исследуйте знаменитый собор Магнуса Оркнейского, выстроенный из песчаника. Это один из самых северных храмов Средневековой Европы и – по мнению многих – самое красивое средневековое здание в северной Шотландии. Среди других знаменитых достопримечательностей – резиденция эрлов Оркнейских и Дворец епископа.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4. (1 июня): остров Фула</w:t>
            </w:r>
          </w:p>
          <w:p>
            <w:pPr/>
            <w:r>
              <w:rPr/>
              <w:t xml:space="preserve">	 Затерянный в Атлантическом океане остров Фула (Foula) - идеальное место для наблюдения за птицами. Скалы Фула (Foula) являются домом для многочисленных морских пернатых, включая самую большую колонию больших поморников в Великобритании. Однако птицы - не единственное сокровище острова. Он также богат фольклором и историей.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5. (2 июня): Город Торсхавн, Фарерские острова (Дания)</w:t>
            </w:r>
          </w:p>
          <w:p>
            <w:pPr/>
            <w:r>
              <w:rPr/>
              <w:t xml:space="preserve">	 Журнал National Geographic Traveler описывал Фарерские острова так: «аутентичные и первозданные – такими они и останутся навсегда…». Природа не пожалела цветов, «раскрашивая» острова: насыщенно-зеленые холмы, яркая голубизна моря, пестрые домики и лодки островитян, оранжево-красные клювы тупиков. 	 Мы делаем остановку в столице Фарерских островов – городе Торсхавн. Если вы предпочитаете исследовать Торсхавн самостоятельно, мы рекомендуем начать с посещения панорамной площадки, откуда открывается восхитительный вид на одну из самых маленьких и очаровательных столиц на Земле. Затем вы можете побывать в Историческом музее, чтобы узнать историю островов от эпохи викингов до наших дней. Или побродить по старой части города «Tinganes» среди маленьких домиков с крышами, поросшими зеленой травой.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6. (3 июня): В море</w:t>
            </w:r>
          </w:p>
          <w:p>
            <w:pPr/>
            <w:r>
              <w:rPr/>
              <w:t xml:space="preserve">	 Наши эксперты подготовят вас к прибытию на Шпицберген, прочитав лекции об уникальной природе этого региона. Скоро нам предстоит увидеть всё это своими глазами.	А еще вы можете посетить святая святых нашего судна - капитанский мостик.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7. (4 июня): Остров Ян-Майен</w:t>
            </w:r>
          </w:p>
          <w:p>
            <w:pPr/>
            <w:r>
              <w:rPr/>
              <w:t xml:space="preserve">	 Сюда сложно добраться даже морем. Лишь пара круизных компаний во всём мире включает остров Ян-Майен в географию своих круизов. А зря. Живописные вулканические ландшафты, шумные птичьи колонии на скалах и самый северный в мире активный вулкан Беренберг – всё это есть на Ян-Майене. Еще здесь есть норвежская метеорологическая станция. У её входа висит табличка, на которой по-норвежски написано: «Теория – это когда все понятно, но ничего не работает. Практика – это когда все работает, но никто не понимает, как. На этой станции мы соединяем теорию и практику таким образом, что ничего не работает и никто не понимает почему».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8. (5 июня): В море</w:t>
            </w:r>
          </w:p>
          <w:p>
            <w:pPr/>
            <w:r>
              <w:rPr/>
              <w:t xml:space="preserve">	 В этот день эксперты по региону расскажут нам самые важные и интересные особенности тех мест, которые нам предстоит исследовать.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9-12. (6 - 9 июня): Исследуем Шпицберген</w:t>
            </w:r>
          </w:p>
          <w:p>
            <w:pPr/>
            <w:r>
              <w:rPr/>
              <w:t xml:space="preserve">	 Добро пожаловать в высокие широты Арктики! Про Шпицберген говорят, что это «вся Арктика в миниатюре» – здесь можно увидеть сразу несколько арктических экосистем и их обитателей. Мы увидим прибрежные скалы и гнездящихся на них арктических птиц, цветущую тундру и северных оленей, песчаные берега с колониями моржей, морской лёд и таких его обитателей, как тюлени, а, возможно, и белых медведей. Специальные лодки Зодиаки довезут нас до самых живописных мест архипелага, мы будем любоваться вековыми ледниками и бесконечными полярными просторами.</w:t>
            </w:r>
          </w:p>
          <w:p>
            <w:pPr/>
            <w:r>
              <w:rPr/>
              <w:t xml:space="preserve"> 	 А еще мы увидим заброшенные китобойные базы, старые охотничьи хижины, полярные станции, - следы арктических экспедиций прошлого. </w:t>
            </w:r>
          </w:p>
        </w:tc>
      </w:tr>
      <w:tr>
        <w:trPr/>
        <w:tc>
          <w:tcPr>
            <w:tcW w:w="11906" w:type="dxa"/>
          </w:tcPr>
          <w:p>
            <w:r>
              <w:pict>
                <v:shape type="#_x0000_t75" style="width:280px; height:186.66666666667px; margin-left:0px; margin-top:0px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Fonts w:ascii="Arial" w:hAnsi="Arial" w:eastAsia="Arial" w:cs="Arial"/>
                <w:sz w:val="22"/>
                <w:szCs w:val="22"/>
                <w:b/>
              </w:rPr>
              <w:t xml:space="preserve">День 13. (10 июня): Лонгйир (Шпицберген), высадка с судна</w:t>
            </w:r>
          </w:p>
          <w:p>
            <w:pPr/>
            <w:r>
              <w:rPr/>
              <w:t xml:space="preserve">	 Наше путешествие заканчивается в Лонгйире. После завтрака нас ждет высадка с судна, трансфер в аэропорт и перелет в Осло. 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6"/>
          <w:szCs w:val="36"/>
        </w:rPr>
        <w:t xml:space="preserve">Судно «Си Спирит»</w:t>
      </w:r>
    </w:p>
    <w:p>
      <w:pPr/>
      <w:r>
        <w:pict>
          <v:shape type="#_x0000_t75" style="width:700px; height:900px; margin-left:0px; margin-top:0px; mso-position-horizontal:left; mso-position-vertical:top; mso-position-horizontal-relative:margin; mso-position-vertical-relative:line;">
            <w10:wrap type="square"/>
            <v:imagedata r:id="rId19" o:title=""/>
          </v:shape>
        </w:pict>
      </w:r>
    </w:p>
    <w:p>
      <w:r>
        <w:br w:type="page"/>
      </w:r>
    </w:p>
    <w:tbl>
      <w:tblGrid>
        <w:gridCol w:w="5500" w:type="dxa"/>
        <w:gridCol w:w="5500" w:type="dxa"/>
      </w:tblGrid>
      <w:tblPr>
        <w:tblW w:w="0" w:type="auto"/>
        <w:tblCellMar>
          <w:right w:w="467" w:type="dxa"/>
        </w:tblCellMar>
      </w:tblP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Трехместная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0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king-size, раскладывающаяся софа;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Cтандарт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1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иллюминаторы.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Одноместная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2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1 кровать king-size, 2 шкафа, ванная комната, сейф, холодильник, спутниковая телефонная связь, телевизор, индивидуальный климат-контроль, фен, окно (может быть закрыто во время волнения на море).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Классик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3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Супериор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4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окно выходит на зону променада палубы Club Deck.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Делюкс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5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</w:tr>
      <w:tr>
        <w:trPr>
          <w:trHeight w:val="100" w:hRule="atLeast"/>
          <w:cantSplit w:val="1"/>
        </w:trPr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Премиум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6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2 кровати twin или 1 кровать king-size; гардероб /шкаф, ванная комната (туалет, душ), сейф, холодильник, спутниковая телефонная связь, телевизор, индивидуальный климат-контроль; балкон, отделенный от жилой зоны скользящей стеклянной дверью.</w:t>
            </w:r>
          </w:p>
        </w:tc>
        <w:tc>
          <w:tcPr>
            <w:tcW w:w="55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Люкс Судовладельца</w:t>
            </w:r>
          </w:p>
          <w:p>
            <w:pPr/>
            <w:r>
              <w:pict>
                <v:shape type="#_x0000_t75" style="width:347px; height:231px; margin-left:0px; margin-top:0px; mso-position-horizontal:left; mso-position-vertical:top; mso-position-horizontal-relative:margin; mso-position-vertical-relative:line;">
                  <w10:wrap type="square"/>
                  <v:imagedata r:id="rId27" o:title=""/>
                </v:shape>
              </w:pict>
            </w:r>
          </w:p>
          <w:p>
            <w:pPr>
              <w:jc w:val="both"/>
            </w:pPr>
            <w:r>
              <w:rPr>
                <w:rFonts w:ascii="Arial" w:hAnsi="Arial" w:eastAsia="Arial" w:cs="Arial"/>
                <w:sz w:val="20"/>
                <w:szCs w:val="20"/>
              </w:rPr>
              <w:t xml:space="preserve">Отделенная спальная зона: кровать king-size, раскладывающаяся софа; зона гостиной; гардероб /шкаф, ванная комната (туалет, джакузи), сейф, холодильник, спутниковая телефонная связь, HD plasma TV, стереосистема BOSE, индивидуальный климат-контроль; терраса на палубе, отделенная от жилой зоны скользящей стеклянной дверью.</w:t>
            </w:r>
          </w:p>
        </w:tc>
      </w:tr>
    </w:tbl>
    <w:p>
      <w:r>
        <w:br w:type="page"/>
      </w:r>
    </w:p>
    <w:tbl>
      <w:tblGrid>
        <w:gridCol/>
        <w:gridCol w:w="6000" w:type="dxa"/>
      </w:tblGrid>
      <w:tblPr>
        <w:tblStyle w:val="Fancy Table"/>
      </w:tblPr>
      <w:tr>
        <w:trPr/>
        <w:tc>
          <w:tcPr>
            <w:tcW w:w="" w:type="dxa"/>
          </w:tcPr>
          <w:p>
            <w:pPr/>
            <w:r>
              <w:pict>
                <v:shape type="#_x0000_t75" style="width:312px; height:212px; margin-left:0px; margin-top:0px; mso-position-horizontal:left; mso-position-vertical:top; mso-position-horizontal-relative:margin; mso-position-vertical-relative:line;">
                  <w10:wrap type="square"/>
                  <v:imagedata r:id="rId28" o:title=""/>
                </v:shape>
              </w:pict>
            </w:r>
          </w:p>
        </w:tc>
        <w:tc>
          <w:tcPr>
            <w:tcW w:w="6000" w:type="dxa"/>
          </w:tcPr>
          <w:p>
            <w:pPr/>
            <w:r>
              <w:rPr>
                <w:rFonts w:ascii="Arial" w:hAnsi="Arial" w:eastAsia="Arial" w:cs="Arial"/>
                <w:sz w:val="32"/>
                <w:szCs w:val="32"/>
                <w:b/>
              </w:rPr>
              <w:t xml:space="preserve">Фотография</w:t>
            </w:r>
          </w:p>
          <w:p>
            <w:pPr/>
            <w:r>
              <w:rPr/>
              <w:t xml:space="preserve"> </w:t>
            </w:r>
            <w:r>
              <w:rPr>
                <w:b/>
              </w:rPr>
              <w:t xml:space="preserve">БЕСПЛАТНАЯ ОПЦИЯ</w:t>
            </w:r>
          </w:p>
          <w:p>
            <w:pPr/>
            <w:r>
              <w:rPr/>
              <w:t xml:space="preserve">	 Во всех наших круизах участвует опытный фотограф. Он всегда готов поделиться своими знаниями как на борту судна в ходе фото-презентаций и лекций, так и во время высадок.</w:t>
            </w:r>
          </w:p>
          <w:p>
            <w:pPr/>
            <w:r>
              <w:rPr/>
              <w:t xml:space="preserve">	 Если вы только начинаете знакомиться с миром фотографии — не расстраивайтесь. Участвовать в наших турах могут как продвинутые фотографы, так и новички. Вы овладеете ключевыми основами фотографии в уникальном окружении, с возможностью получить ответы на свои вопросы от лучших фотографов.</w:t>
            </w:r>
          </w:p>
        </w:tc>
      </w:tr>
    </w:tbl>
    <w:p>
      <w:r>
        <w:br w:type="page"/>
      </w:r>
    </w:p>
    <w:p>
      <w:pPr/>
      <w:r>
        <w:rPr>
          <w:rFonts w:ascii="Arial" w:hAnsi="Arial" w:eastAsia="Arial" w:cs="Arial"/>
          <w:sz w:val="32"/>
          <w:szCs w:val="32"/>
          <w:b/>
        </w:rPr>
        <w:t xml:space="preserve">Стоимость на 1 человека</w:t>
      </w:r>
    </w:p>
    <w:tbl>
      <w:tblGrid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  <w:gridCol w:w="1500" w:type="dxa"/>
      </w:tblGrid>
      <w:tblPr>
        <w:tblStyle w:val="Rates Table"/>
      </w:tblPr>
      <w:tr>
        <w:trPr/>
        <w:tc>
          <w:tcPr>
            <w:tcW w:w="1500" w:type="dxa"/>
          </w:tcPr>
          <w:p>
            <w:pPr/>
            <w:r>
              <w:rPr>
                <w:b/>
              </w:rPr>
              <w:t xml:space="preserve">Трехместная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Cтандарт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Одноместная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Классик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Супериор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Делюкс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Премиум</w:t>
            </w:r>
          </w:p>
        </w:tc>
        <w:tc>
          <w:tcPr>
            <w:tcW w:w="1500" w:type="dxa"/>
          </w:tcPr>
          <w:p>
            <w:pPr/>
            <w:r>
              <w:rPr>
                <w:b/>
              </w:rPr>
              <w:t xml:space="preserve">Люкс Судовладельца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$ 6.895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$ 9.495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$ 14.195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$ 10.095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$ 10.295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$ 11.595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$ 12.695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>
                <w:strike/>
              </w:rPr>
              <w:t xml:space="preserve">$ 16.295</w:t>
            </w:r>
          </w:p>
        </w:tc>
      </w:tr>
      <w:tr>
        <w:trPr/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$ 5.171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$ 7.121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$ 10.646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$ 7.571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$ 7.721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$ 8.696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$ 9.521</w:t>
            </w:r>
          </w:p>
        </w:tc>
        <w:tc>
          <w:tcPr>
            <w:tcW w:w="1500" w:type="dxa"/>
          </w:tcPr>
          <w:p>
            <w:pPr>
              <w:spacing w:before="50" w:after="50"/>
            </w:pPr>
            <w:r>
              <w:rPr/>
              <w:t xml:space="preserve">$ 12.221</w:t>
            </w:r>
          </w:p>
        </w:tc>
      </w:tr>
    </w:tbl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*Акция действует до 20 мая 2024. Только для новых бронирований.</w:t>
      </w:r>
    </w:p>
    <w:p>
      <w:pPr>
        <w:jc w:val="left"/>
      </w:pPr>
      <w:r>
        <w:rPr>
          <w:rFonts w:ascii="Arial" w:hAnsi="Arial" w:eastAsia="Arial" w:cs="Arial"/>
          <w:sz w:val="24"/>
          <w:szCs w:val="24"/>
        </w:rPr>
        <w:t xml:space="preserve">
Одноместное размещение рассчитывается с применением коэффициента 1,7 к стоимости одного места в каютах категорий Стандарт, Классик и Супериор; коэффициента 2 к стоимости одного места в каютах категорий Делюкс, Люкс Премиум и Люкс Судовладельца. Размещение с подселением возможно в каютах категорий Трехместная, Стандарт, Классик, Супериор.</w:t>
      </w:r>
    </w:p>
    <w:p/>
    <w:p/>
    <w:tbl>
      <w:tblGrid>
        <w:gridCol w:w="5000" w:type="dxa"/>
        <w:gridCol w:w="5000" w:type="dxa"/>
      </w:tblGrid>
      <w:tblPr>
        <w:tblStyle w:val="Fancy Table"/>
      </w:tblPr>
      <w:tr>
        <w:trPr/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Включено в стоимость</w:t>
            </w:r>
          </w:p>
          <w:p>
            <w:pPr/>
            <w:r>
              <w:rPr/>
              <w:t xml:space="preserve">Размещение в отеле Radisson Blu Hotel в Эдинбурге в первый день программы (1 ночь);</w:t>
            </w:r>
          </w:p>
          <w:p>
            <w:pPr/>
            <w:r>
              <w:rPr/>
              <w:t xml:space="preserve">Перелет Лонгйир-Осло по окончании круиза: 10-июня-24 LYR - OSL SK4491 (прямой перелет);</w:t>
            </w:r>
          </w:p>
          <w:p>
            <w:pPr/>
            <w:r>
              <w:rPr/>
              <w:t xml:space="preserve">Групповые трансферы на судно в день посадки и в аэропорт в день высадки с судна;</w:t>
            </w:r>
          </w:p>
          <w:p>
            <w:pPr/>
            <w:r>
              <w:rPr/>
              <w:t xml:space="preserve">Размещение на судне в каюте выбранной категории;</w:t>
            </w:r>
          </w:p>
          <w:p>
            <w:pPr/>
            <w:r>
              <w:rPr/>
              <w:t xml:space="preserve">Питание: полный пансион на борту (кофе, чай, какао на coffee station – 24 часа);</w:t>
            </w:r>
          </w:p>
          <w:p>
            <w:pPr/>
            <w:r>
              <w:rPr/>
              <w:t xml:space="preserve">Сборы AECO и государственные пошлины</w:t>
            </w:r>
          </w:p>
          <w:p>
            <w:pPr/>
            <w:r>
              <w:rPr/>
              <w:t xml:space="preserve">Приветственный и прощальный коктейль на борту судна;</w:t>
            </w:r>
          </w:p>
          <w:p>
            <w:pPr/>
            <w:r>
              <w:rPr/>
              <w:t xml:space="preserve">Все запланированные высадки на экспедиционных лодках Зодиак и экскурсии (зависят от погодных и ледовых условий);</w:t>
            </w:r>
          </w:p>
          <w:p>
            <w:pPr/>
            <w:r>
              <w:rPr/>
              <w:t xml:space="preserve">Информационное сопровождение круиза Экспедиционным Лидером и Экспедиционной командой;</w:t>
            </w:r>
          </w:p>
          <w:p>
            <w:pPr/>
            <w:r>
              <w:rPr/>
              <w:t xml:space="preserve">Лекции, видео, слайд-шоу и презентации экспертов по региону;</w:t>
            </w:r>
          </w:p>
          <w:p>
            <w:pPr/>
            <w:r>
              <w:rPr/>
              <w:t xml:space="preserve">Фирменная экспедиционная куртка;</w:t>
            </w:r>
          </w:p>
          <w:p>
            <w:pPr/>
            <w:r>
              <w:rPr/>
              <w:t xml:space="preserve">Резиновые сапоги для высадок на время круиза;</w:t>
            </w:r>
          </w:p>
          <w:p>
            <w:pPr/>
            <w:r>
              <w:rPr/>
              <w:t xml:space="preserve">Информационный пакет (предоставляется до начала путешествия);</w:t>
            </w:r>
          </w:p>
          <w:p>
            <w:pPr/>
            <w:r>
              <w:rPr/>
              <w:t xml:space="preserve">Электронный журнал путешествия;</w:t>
            </w:r>
          </w:p>
          <w:p>
            <w:pPr/>
            <w:r>
              <w:rPr/>
              <w:t xml:space="preserve">Все портовые сборы;</w:t>
            </w:r>
          </w:p>
          <w:p>
            <w:pPr/>
            <w:r>
              <w:rPr/>
              <w:t xml:space="preserve">Wi-Fi на борту.</w:t>
            </w:r>
          </w:p>
        </w:tc>
        <w:tc>
          <w:tcPr>
            <w:tcW w:w="5000" w:type="dxa"/>
          </w:tcPr>
          <w:p>
            <w:pPr/>
            <w:r>
              <w:rPr>
                <w:rFonts w:ascii="Arial" w:hAnsi="Arial" w:eastAsia="Arial" w:cs="Arial"/>
                <w:sz w:val="36"/>
                <w:szCs w:val="36"/>
                <w:b/>
              </w:rPr>
              <w:t xml:space="preserve">Не включено</w:t>
            </w:r>
          </w:p>
          <w:p>
            <w:pPr/>
            <w:r>
              <w:rPr/>
              <w:t xml:space="preserve">Авиаперелеты;</w:t>
            </w:r>
          </w:p>
          <w:p>
            <w:pPr/>
            <w:r>
              <w:rPr/>
              <w:t xml:space="preserve">Стоимость визы (если необходимо), в т.ч. дополнительной визы на Фарерские острова, необходимой для граждан некоторых стран;</w:t>
            </w:r>
          </w:p>
          <w:p>
            <w:pPr/>
            <w:r>
              <w:rPr/>
              <w:t xml:space="preserve">Персональные расходы: бар, связь, прачечная;</w:t>
            </w:r>
          </w:p>
          <w:p>
            <w:pPr/>
            <w:r>
              <w:rPr/>
              <w:t xml:space="preserve">Чаевые стюардам и другому обслуживающему персоналу на судне;</w:t>
            </w:r>
          </w:p>
          <w:p>
            <w:pPr/>
            <w:r>
              <w:rPr/>
              <w:t xml:space="preserve">Чаевые местным гидам на наземных экскурсиях;</w:t>
            </w:r>
          </w:p>
          <w:p>
            <w:pPr/>
            <w:r>
              <w:rPr/>
              <w:t xml:space="preserve">Страховка багажа и страховка от отмены поездки;</w:t>
            </w:r>
          </w:p>
          <w:p>
            <w:pPr/>
            <w:r>
              <w:rPr/>
              <w:t xml:space="preserve">Топливный сбор;</w:t>
            </w:r>
          </w:p>
          <w:p>
            <w:pPr/>
            <w:r>
              <w:rPr/>
              <w:t xml:space="preserve">Стоимость любых применимых медицинских тестов (тестов на наличие вируса COVID-19) или прививок, требуемых либо местными властями, либо компанией-организатором до, во время или после круиза;</w:t>
            </w:r>
          </w:p>
          <w:p>
            <w:pPr/>
            <w:r>
              <w:rPr/>
              <w:t xml:space="preserve">Медицинская страховка, включающая эвакуацию и репатриацию (покрытие не менее 200 000 USD).</w:t>
            </w:r>
          </w:p>
        </w:tc>
      </w:tr>
    </w:tbl>
    <w:sectPr>
      <w:footerReference w:type="default" r:id="rId29"/>
      <w:pgSz w:orient="portrait" w:w="11870" w:h="16787"/>
      <w:pgMar w:top="600" w:right="600" w:bottom="600" w:left="600" w:header="720" w:footer="720" w:gutter="0"/>
      <w:cols w:num="1" w:space="72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fldChar w:fldCharType="begin"/>
    </w:r>
    <w:r>
      <w:instrText xml:space="preserve">PAGE</w:instrText>
    </w:r>
    <w:r>
      <w:fldChar w:fldCharType="separate"/>
    </w:r>
    <w:r>
      <w:fldChar w:fldCharType="end"/>
    </w:r>
    <w:r>
      <w:t xml:space="preserve">/</w:t>
    </w:r>
    <w:r>
      <w:fldChar w:fldCharType="begin"/>
    </w:r>
    <w: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  <w:pPr>
      <w:jc w:val="both"/>
      <w:spacing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line="240" w:lineRule="auto"/>
    </w:pPr>
  </w:style>
  <w:style w:type="table" w:customStyle="1" w:styleId="Fancy Table">
    <w:name w:val="Fancy Table"/>
    <w:uiPriority w:val="99"/>
    <w:tblPr>
      <w:tblW w:w="0" w:type="auto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FFFFFF"/>
        <w:left w:val="single" w:sz="6" w:color="FFFFFF"/>
        <w:right w:val="single" w:sz="6" w:color="FFFFFF"/>
        <w:bottom w:val="single" w:sz="6" w:color="FFFFFF"/>
        <w:insideH w:val="single" w:sz="6" w:color="FFFFFF"/>
        <w:insideV w:val="single" w:sz="6" w:color="FFFFFF"/>
      </w:tblBorders>
    </w:tblPr>
  </w:style>
  <w:style w:type="table" w:customStyle="1" w:styleId="Rates Table">
    <w:name w:val="Rates Table"/>
    <w:uiPriority w:val="99"/>
    <w:tblPr>
      <w:tblW w:w="0" w:type="auto"/>
      <w:tblCellMar>
        <w:top w:w="50" w:type="dxa"/>
        <w:left w:w="50" w:type="dxa"/>
        <w:right w:w="50" w:type="dxa"/>
        <w:bottom w:w="5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png"/><Relationship Id="rId2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2024-05-16T13:47:12+00:00</dcterms:created>
  <dcterms:modified xsi:type="dcterms:W3CDTF">2024-05-16T13:47:12+00:00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